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Application form for the co-leadership of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the Case Management Task Force</w:t>
      </w:r>
    </w:p>
    <w:p w:rsidR="00000000" w:rsidDel="00000000" w:rsidP="00000000" w:rsidRDefault="00000000" w:rsidRPr="00000000" w14:paraId="00000003">
      <w:pPr>
        <w:rPr>
          <w:b w:val="1"/>
          <w:sz w:val="24"/>
          <w:szCs w:val="24"/>
          <w:u w:val="single"/>
        </w:rPr>
      </w:pPr>
      <w:r w:rsidDel="00000000" w:rsidR="00000000" w:rsidRPr="00000000">
        <w:rPr>
          <w:rtl w:val="0"/>
        </w:rPr>
      </w:r>
    </w:p>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Introduction</w:t>
      </w:r>
    </w:p>
    <w:p w:rsidR="00000000" w:rsidDel="00000000" w:rsidP="00000000" w:rsidRDefault="00000000" w:rsidRPr="00000000" w14:paraId="00000005">
      <w:pPr>
        <w:rPr>
          <w:sz w:val="24"/>
          <w:szCs w:val="24"/>
        </w:rPr>
      </w:pPr>
      <w:r w:rsidDel="00000000" w:rsidR="00000000" w:rsidRPr="00000000">
        <w:rPr>
          <w:sz w:val="24"/>
          <w:szCs w:val="24"/>
          <w:rtl w:val="0"/>
        </w:rPr>
        <w:t xml:space="preserve">The Alliance is a global network of operational agencies, academic institutions, policymakers, donors and practitioners. It facilitates inter-agency technical collaboration on child protection in all humanitarian contexts. It sets standards and produces technical guidance for use by the various stakeholders. The United Nations Children’s Fund (UNICEF) currently co-leads the Alliance with World Vision International.</w:t>
      </w:r>
    </w:p>
    <w:p w:rsidR="00000000" w:rsidDel="00000000" w:rsidP="00000000" w:rsidRDefault="00000000" w:rsidRPr="00000000" w14:paraId="00000006">
      <w:pPr>
        <w:spacing w:after="0" w:lineRule="auto"/>
        <w:rPr>
          <w:sz w:val="24"/>
          <w:szCs w:val="24"/>
        </w:rPr>
      </w:pPr>
      <w:r w:rsidDel="00000000" w:rsidR="00000000" w:rsidRPr="00000000">
        <w:rPr>
          <w:sz w:val="24"/>
          <w:szCs w:val="24"/>
          <w:rtl w:val="0"/>
        </w:rPr>
        <w:t xml:space="preserve">Alliance has four working groups that represent four of its permanent streams of work:</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Protection Minimum Standards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and Development</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Assessment, Measurement and Evidence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Advocacy</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u w:val="single"/>
        </w:rPr>
      </w:pPr>
      <w:r w:rsidDel="00000000" w:rsidR="00000000" w:rsidRPr="00000000">
        <w:rPr>
          <w:b w:val="1"/>
          <w:sz w:val="24"/>
          <w:szCs w:val="24"/>
          <w:u w:val="single"/>
          <w:rtl w:val="0"/>
        </w:rPr>
        <w:t xml:space="preserve">The Case Management Task Force (CMTF)</w:t>
      </w:r>
    </w:p>
    <w:p w:rsidR="00000000" w:rsidDel="00000000" w:rsidP="00000000" w:rsidRDefault="00000000" w:rsidRPr="00000000" w14:paraId="0000000D">
      <w:pPr>
        <w:rPr>
          <w:sz w:val="24"/>
          <w:szCs w:val="24"/>
          <w:u w:val="single"/>
        </w:rPr>
      </w:pPr>
      <w:r w:rsidDel="00000000" w:rsidR="00000000" w:rsidRPr="00000000">
        <w:rPr>
          <w:sz w:val="24"/>
          <w:szCs w:val="24"/>
          <w:u w:val="single"/>
          <w:rtl w:val="0"/>
        </w:rPr>
        <w:t xml:space="preserve">Purpose:</w:t>
      </w:r>
    </w:p>
    <w:p w:rsidR="00000000" w:rsidDel="00000000" w:rsidP="00000000" w:rsidRDefault="00000000" w:rsidRPr="00000000" w14:paraId="0000000E">
      <w:pPr>
        <w:rPr>
          <w:sz w:val="24"/>
          <w:szCs w:val="24"/>
        </w:rPr>
      </w:pPr>
      <w:r w:rsidDel="00000000" w:rsidR="00000000" w:rsidRPr="00000000">
        <w:rPr>
          <w:sz w:val="24"/>
          <w:szCs w:val="24"/>
          <w:rtl w:val="0"/>
        </w:rPr>
        <w:t xml:space="preserve">To strengthen case management in humanitarian responses as part of child protection systems building. The CMTF aims to improve the knowledge and skills of global, regional and field-level emergency children protection responders who are planning, implementing or supporting case management services in humanitarian settings by developing standardised tools and guidance, contributing to field-level learning and research, and providing technical guidance and support.</w:t>
      </w:r>
    </w:p>
    <w:p w:rsidR="00000000" w:rsidDel="00000000" w:rsidP="00000000" w:rsidRDefault="00000000" w:rsidRPr="00000000" w14:paraId="0000000F">
      <w:pPr>
        <w:rPr>
          <w:sz w:val="24"/>
          <w:szCs w:val="24"/>
          <w:u w:val="single"/>
        </w:rPr>
      </w:pPr>
      <w:r w:rsidDel="00000000" w:rsidR="00000000" w:rsidRPr="00000000">
        <w:rPr>
          <w:sz w:val="24"/>
          <w:szCs w:val="24"/>
          <w:u w:val="single"/>
          <w:rtl w:val="0"/>
        </w:rPr>
        <w:t xml:space="preserve">Key Priorities</w:t>
      </w:r>
    </w:p>
    <w:p w:rsidR="00000000" w:rsidDel="00000000" w:rsidP="00000000" w:rsidRDefault="00000000" w:rsidRPr="00000000" w14:paraId="00000010">
      <w:pPr>
        <w:rPr>
          <w:sz w:val="24"/>
          <w:szCs w:val="24"/>
        </w:rPr>
      </w:pPr>
      <w:r w:rsidDel="00000000" w:rsidR="00000000" w:rsidRPr="00000000">
        <w:rPr>
          <w:sz w:val="24"/>
          <w:szCs w:val="24"/>
          <w:rtl w:val="0"/>
        </w:rPr>
        <w:t xml:space="preserve">Ensure that Child Protection practitioners have access to inter-agency technical tools, guidance and support to strengthen case management systems in humanitarian settings</w:t>
      </w:r>
    </w:p>
    <w:p w:rsidR="00000000" w:rsidDel="00000000" w:rsidP="00000000" w:rsidRDefault="00000000" w:rsidRPr="00000000" w14:paraId="00000011">
      <w:pPr>
        <w:rPr>
          <w:sz w:val="24"/>
          <w:szCs w:val="24"/>
        </w:rPr>
      </w:pPr>
      <w:r w:rsidDel="00000000" w:rsidR="00000000" w:rsidRPr="00000000">
        <w:rPr>
          <w:sz w:val="24"/>
          <w:szCs w:val="24"/>
          <w:rtl w:val="0"/>
        </w:rPr>
        <w:t xml:space="preserve">Ensure that Child Protection practitioners have access to inter-agency case management capacity building opportunities at national, regional and global levels</w:t>
      </w:r>
    </w:p>
    <w:p w:rsidR="00000000" w:rsidDel="00000000" w:rsidP="00000000" w:rsidRDefault="00000000" w:rsidRPr="00000000" w14:paraId="00000012">
      <w:pPr>
        <w:rPr>
          <w:sz w:val="24"/>
          <w:szCs w:val="24"/>
        </w:rPr>
      </w:pPr>
      <w:r w:rsidDel="00000000" w:rsidR="00000000" w:rsidRPr="00000000">
        <w:rPr>
          <w:sz w:val="24"/>
          <w:szCs w:val="24"/>
          <w:rtl w:val="0"/>
        </w:rPr>
        <w:t xml:space="preserve">Collect, synthesise, and effectively disseminate learning and evidence on case management systems and practices.  </w:t>
      </w:r>
    </w:p>
    <w:p w:rsidR="00000000" w:rsidDel="00000000" w:rsidP="00000000" w:rsidRDefault="00000000" w:rsidRPr="00000000" w14:paraId="00000013">
      <w:pPr>
        <w:rPr>
          <w:b w:val="1"/>
          <w:sz w:val="24"/>
          <w:szCs w:val="24"/>
          <w:u w:val="single"/>
        </w:rPr>
      </w:pPr>
      <w:r w:rsidDel="00000000" w:rsidR="00000000" w:rsidRPr="00000000">
        <w:rPr>
          <w:sz w:val="24"/>
          <w:szCs w:val="24"/>
          <w:rtl w:val="0"/>
        </w:rPr>
        <w:br w:type="textWrapping"/>
      </w:r>
      <w:r w:rsidDel="00000000" w:rsidR="00000000" w:rsidRPr="00000000">
        <w:rPr>
          <w:b w:val="1"/>
          <w:sz w:val="24"/>
          <w:szCs w:val="24"/>
          <w:u w:val="single"/>
          <w:rtl w:val="0"/>
        </w:rPr>
        <w:t xml:space="preserve">Co-leadership of a Task Force:</w:t>
      </w:r>
    </w:p>
    <w:p w:rsidR="00000000" w:rsidDel="00000000" w:rsidP="00000000" w:rsidRDefault="00000000" w:rsidRPr="00000000" w14:paraId="00000014">
      <w:pPr>
        <w:rPr>
          <w:sz w:val="24"/>
          <w:szCs w:val="24"/>
        </w:rPr>
      </w:pPr>
      <w:r w:rsidDel="00000000" w:rsidR="00000000" w:rsidRPr="00000000">
        <w:rPr>
          <w:sz w:val="24"/>
          <w:szCs w:val="24"/>
          <w:rtl w:val="0"/>
        </w:rPr>
        <w:t xml:space="preserve">Each Task Force is typically co-led by at least two member organisations of the Alliance. The co-leads' representatives support each other to jointly facilitate a working group’s operation.</w:t>
      </w:r>
    </w:p>
    <w:p w:rsidR="00000000" w:rsidDel="00000000" w:rsidP="00000000" w:rsidRDefault="00000000" w:rsidRPr="00000000" w14:paraId="00000015">
      <w:pPr>
        <w:rPr>
          <w:sz w:val="24"/>
          <w:szCs w:val="24"/>
        </w:rPr>
      </w:pPr>
      <w:r w:rsidDel="00000000" w:rsidR="00000000" w:rsidRPr="00000000">
        <w:rPr>
          <w:sz w:val="24"/>
          <w:szCs w:val="24"/>
          <w:rtl w:val="0"/>
        </w:rPr>
        <w:t xml:space="preserve">According to the Alliance’s </w:t>
      </w:r>
      <w:hyperlink r:id="rId7">
        <w:r w:rsidDel="00000000" w:rsidR="00000000" w:rsidRPr="00000000">
          <w:rPr>
            <w:color w:val="0000ff"/>
            <w:sz w:val="24"/>
            <w:szCs w:val="24"/>
            <w:u w:val="single"/>
            <w:rtl w:val="0"/>
          </w:rPr>
          <w:t xml:space="preserve">governance paper</w:t>
        </w:r>
      </w:hyperlink>
      <w:r w:rsidDel="00000000" w:rsidR="00000000" w:rsidRPr="00000000">
        <w:rPr>
          <w:sz w:val="24"/>
          <w:szCs w:val="24"/>
          <w:rtl w:val="0"/>
        </w:rPr>
        <w:t xml:space="preserve">, some of the responsibilities of the co-leads of a Task Force is as follows:</w:t>
      </w:r>
    </w:p>
    <w:p w:rsidR="00000000" w:rsidDel="00000000" w:rsidP="00000000" w:rsidRDefault="00000000" w:rsidRPr="00000000" w14:paraId="00000016">
      <w:pPr>
        <w:rPr>
          <w:sz w:val="24"/>
          <w:szCs w:val="24"/>
        </w:rPr>
      </w:pPr>
      <w:r w:rsidDel="00000000" w:rsidR="00000000" w:rsidRPr="00000000">
        <w:rPr>
          <w:sz w:val="24"/>
          <w:szCs w:val="24"/>
          <w:rtl w:val="0"/>
        </w:rPr>
        <w:t xml:space="preserve">i. Map and work with existing initiatives within and beyond the Alliance to ensure that they are complementary and avoid duplication.</w:t>
      </w:r>
    </w:p>
    <w:p w:rsidR="00000000" w:rsidDel="00000000" w:rsidP="00000000" w:rsidRDefault="00000000" w:rsidRPr="00000000" w14:paraId="00000017">
      <w:pPr>
        <w:rPr>
          <w:sz w:val="24"/>
          <w:szCs w:val="24"/>
        </w:rPr>
      </w:pPr>
      <w:r w:rsidDel="00000000" w:rsidR="00000000" w:rsidRPr="00000000">
        <w:rPr>
          <w:sz w:val="24"/>
          <w:szCs w:val="24"/>
          <w:rtl w:val="0"/>
        </w:rPr>
        <w:t xml:space="preserve">ii. Ensure in-house commitment to lead the work (through confirmation of management). This includes dedicated time to the management of the group.</w:t>
      </w:r>
    </w:p>
    <w:p w:rsidR="00000000" w:rsidDel="00000000" w:rsidP="00000000" w:rsidRDefault="00000000" w:rsidRPr="00000000" w14:paraId="00000018">
      <w:pPr>
        <w:rPr>
          <w:sz w:val="24"/>
          <w:szCs w:val="24"/>
        </w:rPr>
      </w:pPr>
      <w:r w:rsidDel="00000000" w:rsidR="00000000" w:rsidRPr="00000000">
        <w:rPr>
          <w:sz w:val="24"/>
          <w:szCs w:val="24"/>
          <w:rtl w:val="0"/>
        </w:rPr>
        <w:t xml:space="preserve">iii. Encourage diversity in the membership for the group, including participation of local and regional organisations when appropriate.</w:t>
      </w:r>
    </w:p>
    <w:p w:rsidR="00000000" w:rsidDel="00000000" w:rsidP="00000000" w:rsidRDefault="00000000" w:rsidRPr="00000000" w14:paraId="00000019">
      <w:pPr>
        <w:rPr>
          <w:sz w:val="24"/>
          <w:szCs w:val="24"/>
        </w:rPr>
      </w:pPr>
      <w:r w:rsidDel="00000000" w:rsidR="00000000" w:rsidRPr="00000000">
        <w:rPr>
          <w:sz w:val="24"/>
          <w:szCs w:val="24"/>
          <w:rtl w:val="0"/>
        </w:rPr>
        <w:t xml:space="preserve">iv. Agree on a work plan including objectives, activities, budget and timeline.</w:t>
      </w:r>
    </w:p>
    <w:p w:rsidR="00000000" w:rsidDel="00000000" w:rsidP="00000000" w:rsidRDefault="00000000" w:rsidRPr="00000000" w14:paraId="0000001A">
      <w:pPr>
        <w:rPr>
          <w:sz w:val="24"/>
          <w:szCs w:val="24"/>
        </w:rPr>
      </w:pPr>
      <w:r w:rsidDel="00000000" w:rsidR="00000000" w:rsidRPr="00000000">
        <w:rPr>
          <w:sz w:val="24"/>
          <w:szCs w:val="24"/>
          <w:rtl w:val="0"/>
        </w:rPr>
        <w:t xml:space="preserve">v. Ensure that the work a) is field focused (responsive to the needs of the field), and b) has a systems strengthening lens.</w:t>
      </w:r>
    </w:p>
    <w:p w:rsidR="00000000" w:rsidDel="00000000" w:rsidP="00000000" w:rsidRDefault="00000000" w:rsidRPr="00000000" w14:paraId="0000001B">
      <w:pPr>
        <w:rPr>
          <w:sz w:val="24"/>
          <w:szCs w:val="24"/>
        </w:rPr>
      </w:pPr>
      <w:r w:rsidDel="00000000" w:rsidR="00000000" w:rsidRPr="00000000">
        <w:rPr>
          <w:sz w:val="24"/>
          <w:szCs w:val="24"/>
          <w:rtl w:val="0"/>
        </w:rPr>
        <w:t xml:space="preserve">vi. Lead the work, including fundraising, by convening members as required.</w:t>
      </w:r>
    </w:p>
    <w:p w:rsidR="00000000" w:rsidDel="00000000" w:rsidP="00000000" w:rsidRDefault="00000000" w:rsidRPr="00000000" w14:paraId="0000001C">
      <w:pPr>
        <w:rPr>
          <w:sz w:val="24"/>
          <w:szCs w:val="24"/>
        </w:rPr>
      </w:pPr>
      <w:r w:rsidDel="00000000" w:rsidR="00000000" w:rsidRPr="00000000">
        <w:rPr>
          <w:sz w:val="24"/>
          <w:szCs w:val="24"/>
          <w:rtl w:val="0"/>
        </w:rPr>
        <w:t xml:space="preserve">vii. Ensure that the specificities of different contexts and organisational roles, responsibilities and mandates have been taken into account, when possible in the products and assistance provided.</w:t>
      </w:r>
    </w:p>
    <w:p w:rsidR="00000000" w:rsidDel="00000000" w:rsidP="00000000" w:rsidRDefault="00000000" w:rsidRPr="00000000" w14:paraId="0000001D">
      <w:pPr>
        <w:rPr>
          <w:sz w:val="24"/>
          <w:szCs w:val="24"/>
        </w:rPr>
      </w:pPr>
      <w:r w:rsidDel="00000000" w:rsidR="00000000" w:rsidRPr="00000000">
        <w:rPr>
          <w:sz w:val="24"/>
          <w:szCs w:val="24"/>
          <w:rtl w:val="0"/>
        </w:rPr>
        <w:t xml:space="preserve">viii. Take responsibility for the tasks, including for example capacity building or advocacy.</w:t>
      </w:r>
    </w:p>
    <w:p w:rsidR="00000000" w:rsidDel="00000000" w:rsidP="00000000" w:rsidRDefault="00000000" w:rsidRPr="00000000" w14:paraId="0000001E">
      <w:pPr>
        <w:rPr>
          <w:sz w:val="24"/>
          <w:szCs w:val="24"/>
        </w:rPr>
      </w:pPr>
      <w:r w:rsidDel="00000000" w:rsidR="00000000" w:rsidRPr="00000000">
        <w:rPr>
          <w:sz w:val="24"/>
          <w:szCs w:val="24"/>
          <w:rtl w:val="0"/>
        </w:rPr>
        <w:t xml:space="preserve">ix. Promote inter-agency collaboration.</w:t>
      </w:r>
    </w:p>
    <w:p w:rsidR="00000000" w:rsidDel="00000000" w:rsidP="00000000" w:rsidRDefault="00000000" w:rsidRPr="00000000" w14:paraId="0000001F">
      <w:pPr>
        <w:rPr>
          <w:sz w:val="24"/>
          <w:szCs w:val="24"/>
        </w:rPr>
      </w:pPr>
      <w:r w:rsidDel="00000000" w:rsidR="00000000" w:rsidRPr="00000000">
        <w:rPr>
          <w:sz w:val="24"/>
          <w:szCs w:val="24"/>
          <w:rtl w:val="0"/>
        </w:rPr>
        <w:t xml:space="preserve">x. Report back to the Alliance Coordinator(s) as required on progress, funds raised and any planned work.</w:t>
      </w:r>
    </w:p>
    <w:p w:rsidR="00000000" w:rsidDel="00000000" w:rsidP="00000000" w:rsidRDefault="00000000" w:rsidRPr="00000000" w14:paraId="00000020">
      <w:pPr>
        <w:rPr>
          <w:sz w:val="24"/>
          <w:szCs w:val="24"/>
        </w:rPr>
      </w:pPr>
      <w:r w:rsidDel="00000000" w:rsidR="00000000" w:rsidRPr="00000000">
        <w:rPr>
          <w:sz w:val="24"/>
          <w:szCs w:val="24"/>
          <w:rtl w:val="0"/>
        </w:rPr>
        <w:t xml:space="preserve">xi. Represent the work in interagency fora as required.</w:t>
      </w:r>
    </w:p>
    <w:p w:rsidR="00000000" w:rsidDel="00000000" w:rsidP="00000000" w:rsidRDefault="00000000" w:rsidRPr="00000000" w14:paraId="00000021">
      <w:pPr>
        <w:rPr>
          <w:sz w:val="24"/>
          <w:szCs w:val="24"/>
        </w:rPr>
      </w:pPr>
      <w:r w:rsidDel="00000000" w:rsidR="00000000" w:rsidRPr="00000000">
        <w:rPr>
          <w:sz w:val="24"/>
          <w:szCs w:val="24"/>
          <w:rtl w:val="0"/>
        </w:rPr>
        <w:t xml:space="preserve">Task Force leads should strive for diversity and inclusion in the membership and leadership of the Group.</w:t>
      </w:r>
    </w:p>
    <w:p w:rsidR="00000000" w:rsidDel="00000000" w:rsidP="00000000" w:rsidRDefault="00000000" w:rsidRPr="00000000" w14:paraId="00000022">
      <w:pPr>
        <w:rPr>
          <w:b w:val="1"/>
          <w:sz w:val="24"/>
          <w:szCs w:val="24"/>
          <w:u w:val="single"/>
        </w:rPr>
      </w:pPr>
      <w:r w:rsidDel="00000000" w:rsidR="00000000" w:rsidRPr="00000000">
        <w:rPr>
          <w:rtl w:val="0"/>
        </w:rPr>
      </w:r>
    </w:p>
    <w:p w:rsidR="00000000" w:rsidDel="00000000" w:rsidP="00000000" w:rsidRDefault="00000000" w:rsidRPr="00000000" w14:paraId="00000023">
      <w:pPr>
        <w:rPr>
          <w:b w:val="1"/>
          <w:sz w:val="24"/>
          <w:szCs w:val="24"/>
          <w:u w:val="single"/>
        </w:rPr>
      </w:pPr>
      <w:r w:rsidDel="00000000" w:rsidR="00000000" w:rsidRPr="00000000">
        <w:rPr>
          <w:b w:val="1"/>
          <w:sz w:val="24"/>
          <w:szCs w:val="24"/>
          <w:u w:val="single"/>
          <w:rtl w:val="0"/>
        </w:rPr>
        <w:t xml:space="preserve">Application Form</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w:t>
      </w:r>
      <w:r w:rsidDel="00000000" w:rsidR="00000000" w:rsidRPr="00000000">
        <w:rPr>
          <w:sz w:val="24"/>
          <w:szCs w:val="24"/>
          <w:rtl w:val="0"/>
        </w:rPr>
        <w:t xml:space="preserve">organisation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Are you already a member of the Case Management Task Force?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yes, since when?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yes, have you led or are leading any activities related to the </w:t>
      </w:r>
      <w:r w:rsidDel="00000000" w:rsidR="00000000" w:rsidRPr="00000000">
        <w:rPr>
          <w:i w:val="1"/>
          <w:sz w:val="24"/>
          <w:szCs w:val="24"/>
          <w:rtl w:val="0"/>
        </w:rPr>
        <w:t xml:space="preserve">work plan</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of the CMTF?</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w:t>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(If Yes, specify:       )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Please share specific plans and ideas for 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ow do you </w:t>
      </w:r>
      <w:r w:rsidDel="00000000" w:rsidR="00000000" w:rsidRPr="00000000">
        <w:rPr>
          <w:sz w:val="24"/>
          <w:szCs w:val="24"/>
          <w:rtl w:val="0"/>
        </w:rPr>
        <w:t xml:space="preserve">would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contribute to the co-leadership and advancement of the CMTF </w:t>
      </w:r>
      <w:r w:rsidDel="00000000" w:rsidR="00000000" w:rsidRPr="00000000">
        <w:rPr>
          <w:sz w:val="24"/>
          <w:szCs w:val="24"/>
          <w:rtl w:val="0"/>
        </w:rPr>
        <w:t xml:space="preserve">work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(e.g. dedicating a</w:t>
      </w:r>
      <w:r w:rsidDel="00000000" w:rsidR="00000000" w:rsidRPr="00000000">
        <w:rPr>
          <w:sz w:val="24"/>
          <w:szCs w:val="24"/>
          <w:rtl w:val="0"/>
        </w:rPr>
        <w:t xml:space="preserve"> percentage of an existing staff time, hiring a consultant, financial contribution towards activities of the work plan, </w:t>
      </w:r>
      <w:r w:rsidDel="00000000" w:rsidR="00000000" w:rsidRPr="00000000">
        <w:rPr>
          <w:sz w:val="24"/>
          <w:szCs w:val="24"/>
          <w:rtl w:val="0"/>
        </w:rPr>
        <w:t xml:space="preserve">engaging key actors in the activities of the task force, or other contributions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expertise does your </w:t>
      </w:r>
      <w:r w:rsidDel="00000000" w:rsidR="00000000" w:rsidRPr="00000000">
        <w:rPr>
          <w:sz w:val="24"/>
          <w:szCs w:val="24"/>
          <w:rtl w:val="0"/>
        </w:rPr>
        <w:t xml:space="preserve">organisation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have to make it a good fit for the co-leadership of the Case Managem</w:t>
      </w:r>
      <w:r w:rsidDel="00000000" w:rsidR="00000000" w:rsidRPr="00000000">
        <w:rPr>
          <w:sz w:val="24"/>
          <w:szCs w:val="24"/>
          <w:rtl w:val="0"/>
        </w:rPr>
        <w:t xml:space="preserve">ent Task Force </w:t>
      </w:r>
      <w:r w:rsidDel="00000000" w:rsidR="00000000" w:rsidRPr="00000000">
        <w:rPr>
          <w:sz w:val="24"/>
          <w:szCs w:val="24"/>
          <w:rtl w:val="0"/>
        </w:rPr>
        <w:t xml:space="preserve">(please emphasise expertise and experience linked on case management)</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Provide name and contact information of the focal point for correspondence and representation:</w:t>
      </w:r>
    </w:p>
    <w:p w:rsidR="00000000" w:rsidDel="00000000" w:rsidP="00000000" w:rsidRDefault="00000000" w:rsidRPr="00000000" w14:paraId="0000002F">
      <w:pPr>
        <w:rPr>
          <w:sz w:val="24"/>
          <w:szCs w:val="24"/>
        </w:rPr>
      </w:pPr>
      <w:r w:rsidDel="00000000" w:rsidR="00000000" w:rsidRPr="00000000">
        <w:rPr>
          <w:sz w:val="24"/>
          <w:szCs w:val="24"/>
          <w:rtl w:val="0"/>
        </w:rPr>
        <w:t xml:space="preserve">Name:      </w:t>
      </w:r>
    </w:p>
    <w:p w:rsidR="00000000" w:rsidDel="00000000" w:rsidP="00000000" w:rsidRDefault="00000000" w:rsidRPr="00000000" w14:paraId="00000030">
      <w:pPr>
        <w:rPr>
          <w:sz w:val="24"/>
          <w:szCs w:val="24"/>
        </w:rPr>
      </w:pPr>
      <w:r w:rsidDel="00000000" w:rsidR="00000000" w:rsidRPr="00000000">
        <w:rPr>
          <w:sz w:val="24"/>
          <w:szCs w:val="24"/>
          <w:rtl w:val="0"/>
        </w:rPr>
        <w:t xml:space="preserve">Organisation:      </w:t>
      </w:r>
    </w:p>
    <w:p w:rsidR="00000000" w:rsidDel="00000000" w:rsidP="00000000" w:rsidRDefault="00000000" w:rsidRPr="00000000" w14:paraId="00000031">
      <w:pPr>
        <w:rPr>
          <w:sz w:val="24"/>
          <w:szCs w:val="24"/>
        </w:rPr>
      </w:pPr>
      <w:r w:rsidDel="00000000" w:rsidR="00000000" w:rsidRPr="00000000">
        <w:rPr>
          <w:sz w:val="24"/>
          <w:szCs w:val="24"/>
          <w:rtl w:val="0"/>
        </w:rPr>
        <w:t xml:space="preserve">Email address: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Please email the completed form to </w:t>
      </w:r>
      <w:hyperlink r:id="rId8">
        <w:r w:rsidDel="00000000" w:rsidR="00000000" w:rsidRPr="00000000">
          <w:rPr>
            <w:b w:val="1"/>
            <w:color w:val="0000ff"/>
            <w:u w:val="single"/>
            <w:rtl w:val="0"/>
          </w:rPr>
          <w:t xml:space="preserve">hani.mansourian@alliancecpha.org</w:t>
        </w:r>
      </w:hyperlink>
      <w:r w:rsidDel="00000000" w:rsidR="00000000" w:rsidRPr="00000000">
        <w:rPr>
          <w:b w:val="1"/>
          <w:u w:val="single"/>
          <w:rtl w:val="0"/>
        </w:rPr>
        <w:t xml:space="preserve"> and </w:t>
      </w:r>
      <w:hyperlink r:id="rId9">
        <w:r w:rsidDel="00000000" w:rsidR="00000000" w:rsidRPr="00000000">
          <w:rPr>
            <w:b w:val="1"/>
            <w:color w:val="0000ff"/>
            <w:u w:val="single"/>
            <w:rtl w:val="0"/>
          </w:rPr>
          <w:t xml:space="preserve">Camilla.Jones@alliancecpha.org</w:t>
        </w:r>
      </w:hyperlink>
      <w:r w:rsidDel="00000000" w:rsidR="00000000" w:rsidRPr="00000000">
        <w:rPr>
          <w:rtl w:val="0"/>
        </w:rPr>
        <w:t xml:space="preserve"> by 8th April 2022</w:t>
      </w:r>
    </w:p>
    <w:p w:rsidR="00000000" w:rsidDel="00000000" w:rsidP="00000000" w:rsidRDefault="00000000" w:rsidRPr="00000000" w14:paraId="00000034">
      <w:pPr>
        <w:rPr>
          <w:b w:val="1"/>
        </w:rPr>
      </w:pPr>
      <w:r w:rsidDel="00000000" w:rsidR="00000000" w:rsidRPr="00000000">
        <w:rPr>
          <w:rtl w:val="0"/>
        </w:rPr>
        <w:t xml:space="preserve"> </w:t>
      </w:r>
      <w:r w:rsidDel="00000000" w:rsidR="00000000" w:rsidRPr="00000000">
        <w:rPr>
          <w:rtl w:val="0"/>
        </w:rPr>
      </w:r>
    </w:p>
    <w:sectPr>
      <w:headerReference r:id="rId10" w:type="default"/>
      <w:footerReference r:id="rId11" w:type="default"/>
      <w:pgSz w:h="15840" w:w="12240" w:orient="portrait"/>
      <w:pgMar w:bottom="270" w:top="1440" w:left="1440" w:right="1440" w:header="720" w:footer="1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400550" cy="885825"/>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0055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decimal"/>
      <w:lvlText w:val="%1.%2"/>
      <w:lvlJc w:val="left"/>
      <w:pPr>
        <w:ind w:left="720" w:hanging="360"/>
      </w:pPr>
      <w:rPr>
        <w:rFonts w:ascii="Calibri" w:cs="Calibri" w:eastAsia="Calibri" w:hAnsi="Calibri"/>
        <w:b w:val="1"/>
      </w:rPr>
    </w:lvl>
    <w:lvl w:ilvl="2">
      <w:start w:val="1"/>
      <w:numFmt w:val="decimal"/>
      <w:lvlText w:val="%1.%2.%3"/>
      <w:lvlJc w:val="left"/>
      <w:pPr>
        <w:ind w:left="1080" w:hanging="720"/>
      </w:pPr>
      <w:rPr>
        <w:rFonts w:ascii="Quattrocento Sans" w:cs="Quattrocento Sans" w:eastAsia="Quattrocento Sans" w:hAnsi="Quattrocento Sans"/>
      </w:rPr>
    </w:lvl>
    <w:lvl w:ilvl="3">
      <w:start w:val="1"/>
      <w:numFmt w:val="decimal"/>
      <w:lvlText w:val="%1.%2.%3.%4"/>
      <w:lvlJc w:val="left"/>
      <w:pPr>
        <w:ind w:left="1080" w:hanging="720"/>
      </w:pPr>
      <w:rPr>
        <w:rFonts w:ascii="Quattrocento Sans" w:cs="Quattrocento Sans" w:eastAsia="Quattrocento Sans" w:hAnsi="Quattrocento Sans"/>
      </w:rPr>
    </w:lvl>
    <w:lvl w:ilvl="4">
      <w:start w:val="1"/>
      <w:numFmt w:val="decimal"/>
      <w:lvlText w:val="%1.%2.%3.%4.%5"/>
      <w:lvlJc w:val="left"/>
      <w:pPr>
        <w:ind w:left="1440" w:hanging="1080"/>
      </w:pPr>
      <w:rPr>
        <w:rFonts w:ascii="Quattrocento Sans" w:cs="Quattrocento Sans" w:eastAsia="Quattrocento Sans" w:hAnsi="Quattrocento Sans"/>
      </w:rPr>
    </w:lvl>
    <w:lvl w:ilvl="5">
      <w:start w:val="1"/>
      <w:numFmt w:val="decimal"/>
      <w:lvlText w:val="%1.%2.%3.%4.%5.%6"/>
      <w:lvlJc w:val="left"/>
      <w:pPr>
        <w:ind w:left="1440" w:hanging="1080"/>
      </w:pPr>
      <w:rPr>
        <w:rFonts w:ascii="Quattrocento Sans" w:cs="Quattrocento Sans" w:eastAsia="Quattrocento Sans" w:hAnsi="Quattrocento Sans"/>
      </w:rPr>
    </w:lvl>
    <w:lvl w:ilvl="6">
      <w:start w:val="1"/>
      <w:numFmt w:val="decimal"/>
      <w:lvlText w:val="%1.%2.%3.%4.%5.%6.%7"/>
      <w:lvlJc w:val="left"/>
      <w:pPr>
        <w:ind w:left="1800" w:hanging="1440"/>
      </w:pPr>
      <w:rPr>
        <w:rFonts w:ascii="Quattrocento Sans" w:cs="Quattrocento Sans" w:eastAsia="Quattrocento Sans" w:hAnsi="Quattrocento Sans"/>
      </w:rPr>
    </w:lvl>
    <w:lvl w:ilvl="7">
      <w:start w:val="1"/>
      <w:numFmt w:val="decimal"/>
      <w:lvlText w:val="%1.%2.%3.%4.%5.%6.%7.%8"/>
      <w:lvlJc w:val="left"/>
      <w:pPr>
        <w:ind w:left="1800" w:hanging="1440"/>
      </w:pPr>
      <w:rPr>
        <w:rFonts w:ascii="Quattrocento Sans" w:cs="Quattrocento Sans" w:eastAsia="Quattrocento Sans" w:hAnsi="Quattrocento Sans"/>
      </w:rPr>
    </w:lvl>
    <w:lvl w:ilvl="8">
      <w:start w:val="1"/>
      <w:numFmt w:val="decimal"/>
      <w:lvlText w:val="%1.%2.%3.%4.%5.%6.%7.%8.%9"/>
      <w:lvlJc w:val="left"/>
      <w:pPr>
        <w:ind w:left="1800" w:hanging="1440"/>
      </w:pPr>
      <w:rPr>
        <w:rFonts w:ascii="Quattrocento Sans" w:cs="Quattrocento Sans" w:eastAsia="Quattrocento Sans" w:hAnsi="Quattrocento San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18F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D3A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D3A1C"/>
  </w:style>
  <w:style w:type="paragraph" w:styleId="Footer">
    <w:name w:val="footer"/>
    <w:basedOn w:val="Normal"/>
    <w:link w:val="FooterChar"/>
    <w:uiPriority w:val="99"/>
    <w:unhideWhenUsed w:val="1"/>
    <w:rsid w:val="00AD3A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D3A1C"/>
  </w:style>
  <w:style w:type="paragraph" w:styleId="BalloonText">
    <w:name w:val="Balloon Text"/>
    <w:basedOn w:val="Normal"/>
    <w:link w:val="BalloonTextChar"/>
    <w:uiPriority w:val="99"/>
    <w:semiHidden w:val="1"/>
    <w:unhideWhenUsed w:val="1"/>
    <w:rsid w:val="00520F6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20F6B"/>
    <w:rPr>
      <w:rFonts w:ascii="Tahoma" w:cs="Tahoma" w:hAnsi="Tahoma"/>
      <w:sz w:val="16"/>
      <w:szCs w:val="16"/>
    </w:rPr>
  </w:style>
  <w:style w:type="character" w:styleId="Hyperlink">
    <w:name w:val="Hyperlink"/>
    <w:basedOn w:val="DefaultParagraphFont"/>
    <w:uiPriority w:val="99"/>
    <w:unhideWhenUsed w:val="1"/>
    <w:rsid w:val="006C15F1"/>
    <w:rPr>
      <w:color w:val="0000ff" w:themeColor="hyperlink"/>
      <w:u w:val="single"/>
    </w:rPr>
  </w:style>
  <w:style w:type="paragraph" w:styleId="ListParagraph">
    <w:name w:val="List Paragraph"/>
    <w:basedOn w:val="Normal"/>
    <w:uiPriority w:val="34"/>
    <w:qFormat w:val="1"/>
    <w:rsid w:val="0021413F"/>
    <w:pPr>
      <w:ind w:left="720"/>
      <w:contextualSpacing w:val="1"/>
    </w:pPr>
  </w:style>
  <w:style w:type="paragraph" w:styleId="FootnoteText">
    <w:name w:val="footnote text"/>
    <w:basedOn w:val="Normal"/>
    <w:link w:val="FootnoteTextChar"/>
    <w:uiPriority w:val="99"/>
    <w:semiHidden w:val="1"/>
    <w:unhideWhenUsed w:val="1"/>
    <w:rsid w:val="00E24133"/>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E24133"/>
    <w:rPr>
      <w:sz w:val="20"/>
      <w:szCs w:val="20"/>
    </w:rPr>
  </w:style>
  <w:style w:type="character" w:styleId="FootnoteReference">
    <w:name w:val="footnote reference"/>
    <w:basedOn w:val="DefaultParagraphFont"/>
    <w:uiPriority w:val="99"/>
    <w:semiHidden w:val="1"/>
    <w:unhideWhenUsed w:val="1"/>
    <w:rsid w:val="00E24133"/>
    <w:rPr>
      <w:vertAlign w:val="superscript"/>
    </w:rPr>
  </w:style>
  <w:style w:type="character" w:styleId="CommentReference">
    <w:name w:val="annotation reference"/>
    <w:basedOn w:val="DefaultParagraphFont"/>
    <w:uiPriority w:val="99"/>
    <w:semiHidden w:val="1"/>
    <w:unhideWhenUsed w:val="1"/>
    <w:rsid w:val="007B165E"/>
    <w:rPr>
      <w:sz w:val="16"/>
      <w:szCs w:val="16"/>
    </w:rPr>
  </w:style>
  <w:style w:type="paragraph" w:styleId="CommentText">
    <w:name w:val="annotation text"/>
    <w:basedOn w:val="Normal"/>
    <w:link w:val="CommentTextChar"/>
    <w:uiPriority w:val="99"/>
    <w:unhideWhenUsed w:val="1"/>
    <w:rsid w:val="007B165E"/>
    <w:pPr>
      <w:spacing w:line="240" w:lineRule="auto"/>
    </w:pPr>
    <w:rPr>
      <w:sz w:val="20"/>
      <w:szCs w:val="20"/>
    </w:rPr>
  </w:style>
  <w:style w:type="character" w:styleId="CommentTextChar" w:customStyle="1">
    <w:name w:val="Comment Text Char"/>
    <w:basedOn w:val="DefaultParagraphFont"/>
    <w:link w:val="CommentText"/>
    <w:uiPriority w:val="99"/>
    <w:rsid w:val="007B165E"/>
    <w:rPr>
      <w:sz w:val="20"/>
      <w:szCs w:val="20"/>
    </w:rPr>
  </w:style>
  <w:style w:type="paragraph" w:styleId="CommentSubject">
    <w:name w:val="annotation subject"/>
    <w:basedOn w:val="CommentText"/>
    <w:next w:val="CommentText"/>
    <w:link w:val="CommentSubjectChar"/>
    <w:uiPriority w:val="99"/>
    <w:semiHidden w:val="1"/>
    <w:unhideWhenUsed w:val="1"/>
    <w:rsid w:val="007B165E"/>
    <w:rPr>
      <w:b w:val="1"/>
      <w:bCs w:val="1"/>
    </w:rPr>
  </w:style>
  <w:style w:type="character" w:styleId="CommentSubjectChar" w:customStyle="1">
    <w:name w:val="Comment Subject Char"/>
    <w:basedOn w:val="CommentTextChar"/>
    <w:link w:val="CommentSubject"/>
    <w:uiPriority w:val="99"/>
    <w:semiHidden w:val="1"/>
    <w:rsid w:val="007B165E"/>
    <w:rPr>
      <w:b w:val="1"/>
      <w:bCs w:val="1"/>
      <w:sz w:val="20"/>
      <w:szCs w:val="20"/>
    </w:rPr>
  </w:style>
  <w:style w:type="character" w:styleId="Mention1" w:customStyle="1">
    <w:name w:val="Mention1"/>
    <w:basedOn w:val="DefaultParagraphFont"/>
    <w:uiPriority w:val="99"/>
    <w:semiHidden w:val="1"/>
    <w:unhideWhenUsed w:val="1"/>
    <w:rsid w:val="00604622"/>
    <w:rPr>
      <w:color w:val="2b579a"/>
      <w:shd w:color="auto" w:fill="e6e6e6" w:val="clear"/>
    </w:rPr>
  </w:style>
  <w:style w:type="character" w:styleId="UnresolvedMention1" w:customStyle="1">
    <w:name w:val="Unresolved Mention1"/>
    <w:basedOn w:val="DefaultParagraphFont"/>
    <w:uiPriority w:val="99"/>
    <w:semiHidden w:val="1"/>
    <w:unhideWhenUsed w:val="1"/>
    <w:rsid w:val="00157659"/>
    <w:rPr>
      <w:color w:val="605e5c"/>
      <w:shd w:color="auto" w:fill="e1dfdd" w:val="clear"/>
    </w:rPr>
  </w:style>
  <w:style w:type="paragraph" w:styleId="Revision">
    <w:name w:val="Revision"/>
    <w:hidden w:val="1"/>
    <w:uiPriority w:val="99"/>
    <w:semiHidden w:val="1"/>
    <w:rsid w:val="002C7075"/>
    <w:pPr>
      <w:spacing w:after="0" w:line="240" w:lineRule="auto"/>
    </w:pPr>
  </w:style>
  <w:style w:type="character" w:styleId="UnresolvedMention">
    <w:name w:val="Unresolved Mention"/>
    <w:basedOn w:val="DefaultParagraphFont"/>
    <w:uiPriority w:val="99"/>
    <w:semiHidden w:val="1"/>
    <w:unhideWhenUsed w:val="1"/>
    <w:rsid w:val="006F447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Camilla.Jonse@alliancecph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l8pp_dzcUOTGocDlWnIjnAxSWPq6x1qn/view" TargetMode="External"/><Relationship Id="rId8" Type="http://schemas.openxmlformats.org/officeDocument/2006/relationships/hyperlink" Target="mailto:hani.mansourian@alliancecph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t9XQh39SyH63KzaXI0LocpMWw==">AMUW2mUV1fNeHsZrhqsYOtdDtX/gNg8wqRXFAE1odWpcKpXsmD2/VhaTuuzUY+Y84LJNf82iTXA9Q5/2bHrfZ0S11WG03l2nv66BjBV+Vkg+bgxefBqd3bYSGpIwu7SHbun0w+UM7mRvwXmvZ4sLeshI18HXXT7VXDni6qQHNG50vhL1Ps/Ohwgnf6EmAMdWwAPPUg80R+efzk9KWmgVmQxrlr73lVMMrTm818TOHW6agDfAI3/SnrG19E9RtA8Ta7yolrst71s8VwYEEUvR3FSoWVwVE7/2Wx3FUgzgm/id9xdwtAz+WyKqi1Oxy2brW+HwD6+S9ZogAEmmOA0jRL+n7IrcSREb/3AZnsRFTI+klZ3E+5LyCyC5amBRp2QFZ8CU0uOK68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2022-03-17T10:38:00Z</dcterms:created>
  <dc:creator>Hani Mansourian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